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52"/>
        <w:ind w:left="5245" w:firstLine="0"/>
        <w:spacing w:line="276" w:lineRule="auto"/>
        <w:tabs>
          <w:tab w:val="left" w:pos="1418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Внимание! Подключение полномочий Подсистемы НСИ осуществляется с использованием функционала ПОИБ СОБИ</w:t>
      </w:r>
      <w:r>
        <w:rPr>
          <w:rStyle w:val="1013"/>
          <w:b/>
          <w:sz w:val="24"/>
          <w:szCs w:val="24"/>
        </w:rPr>
        <w:endnoteReference w:id="2"/>
      </w:r>
      <w:r>
        <w:rPr>
          <w:b/>
          <w:sz w:val="24"/>
          <w:szCs w:val="24"/>
        </w:rPr>
        <w:t xml:space="preserve">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1052"/>
        <w:ind w:left="5245" w:firstLine="0"/>
        <w:spacing w:line="276" w:lineRule="auto"/>
        <w:tabs>
          <w:tab w:val="left" w:pos="1418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right="139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Информация о соответствии полномочий, указанных в заявке на подключение пользователей перечню ролей доступа, настроенных в ПОИБ СОБИ</w:t>
      </w:r>
      <w:r>
        <w:rPr>
          <w:rFonts w:ascii="Times New Roman" w:hAnsi="Times New Roman"/>
          <w:sz w:val="28"/>
          <w:szCs w:val="28"/>
        </w:rPr>
        <w:t xml:space="preserve"> для работы в подсистеме ведения нормативной справочной информации государственной интегрированной информационной системы управления общественными финансами «Электронный бюджет»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r/>
      <w:r/>
    </w:p>
    <w:tbl>
      <w:tblPr>
        <w:tblW w:w="5086" w:type="pct"/>
        <w:tblInd w:w="-2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730"/>
        <w:gridCol w:w="3610"/>
        <w:gridCol w:w="2095"/>
        <w:gridCol w:w="3368"/>
      </w:tblGrid>
      <w:tr>
        <w:tblPrEx/>
        <w:trPr>
          <w:cantSplit/>
          <w:jc w:val="center"/>
          <w:trHeight w:val="948"/>
          <w:tblHeader/>
        </w:trPr>
        <w:tc>
          <w:tcPr>
            <w:tcW w:w="730" w:type="dxa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  <w:t xml:space="preserve">№ п/п</w:t>
            </w: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</w:r>
          </w:p>
        </w:tc>
        <w:tc>
          <w:tcPr>
            <w:gridSpan w:val="2"/>
            <w:tcW w:w="5705" w:type="dxa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  <w:t xml:space="preserve">Полномочие</w:t>
            </w: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  <w:t xml:space="preserve">Код роли доступа в ПОИБ СОБИ</w:t>
            </w: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gridSpan w:val="4"/>
            <w:tcW w:w="9803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tLeast"/>
              <w:rPr>
                <w:rFonts w:ascii="Times New Roman" w:hAnsi="Times New Roman"/>
                <w:b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Для клиентов</w:t>
            </w:r>
            <w:r>
              <w:rPr>
                <w:rStyle w:val="1013"/>
                <w:rFonts w:ascii="Times New Roman" w:hAnsi="Times New Roman"/>
                <w:b/>
                <w:color w:val="000000" w:themeColor="text1"/>
              </w:rPr>
              <w:endnoteReference w:id="3"/>
            </w: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6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Клиент: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резервирование лицевых счетов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участником казначейского сопровождения</w:t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ЛС.006 Исполнитель клиент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ff0000"/>
                <w:spacing w:val="6"/>
              </w:rPr>
            </w:pP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ff0000"/>
                <w:spacing w:val="6"/>
                <w:highlight w:val="yellow"/>
              </w:rPr>
            </w:pPr>
            <w:r>
              <w:rPr>
                <w:rFonts w:ascii="Times New Roman" w:hAnsi="Times New Roman"/>
                <w:color w:val="ff0000"/>
                <w:spacing w:val="6"/>
                <w:highlight w:val="yellow"/>
              </w:rPr>
            </w:r>
            <w:r>
              <w:rPr>
                <w:rFonts w:ascii="Times New Roman" w:hAnsi="Times New Roman"/>
                <w:color w:val="ff0000"/>
                <w:spacing w:val="6"/>
                <w:highlight w:val="yellow"/>
              </w:rPr>
            </w:r>
            <w:r>
              <w:rPr>
                <w:rFonts w:ascii="Times New Roman" w:hAnsi="Times New Roman"/>
                <w:color w:val="ff0000"/>
                <w:spacing w:val="6"/>
                <w:highlight w:val="yellow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Резервирование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ЛС.006 Исполнитель клиент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6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Клиент: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Открытие (переоформление, закрытие) лицевых счетов</w:t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ЛС.006 Исполнитель клиент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6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Клиент: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Формирование и ведение реестра участников бюджетного процесса, а также юридических лиц, не являющихся участниками бюджетного процесса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РУБПНУБП.001 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РУБПНУБП.002 Согласование УО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РУБПНУБП.003 Утверждение УО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РУБПНУБП.009 - Чтение всех документов УО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1153"/>
        </w:trPr>
        <w:tc>
          <w:tcPr>
            <w:tcW w:w="73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6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Клиент 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(не включенный в </w:t>
            </w:r>
            <w:r>
              <w:rPr>
                <w:rFonts w:ascii="Times New Roman" w:hAnsi="Times New Roman"/>
                <w:color w:val="000000" w:themeColor="text1"/>
              </w:rPr>
              <w:t xml:space="preserve">Сводный реестр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)</w:t>
            </w:r>
            <w:r>
              <w:rPr>
                <w:rFonts w:ascii="Times New Roman" w:hAnsi="Times New Roman"/>
                <w:color w:val="000000" w:themeColor="text1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Формирование и ведение Сводного реестра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 xml:space="preserve">Уполномоченной организацией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НСИ.001. Саморегистрация. 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1153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ff0000"/>
                <w:spacing w:val="6"/>
              </w:rPr>
            </w:pP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ff0000"/>
                <w:spacing w:val="6"/>
              </w:rPr>
            </w:pP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НСИ.002. Саморегистрация. Согласующий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1154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ff0000"/>
                <w:spacing w:val="6"/>
              </w:rPr>
            </w:pP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ff0000"/>
                <w:spacing w:val="6"/>
              </w:rPr>
            </w:pP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НСИ.003. Саморегистрация. Утверждающий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6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Формирование заявки на внесение изменений в базовые (отраслевые) перечни государственных и муниципальных услуг и работ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0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БПГУ.004 Ввод данных ФОИВ 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10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БПГУ.007 Координатор ФОИВ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БПГУ.005 Согласование ФОИВ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БПГУ.006 Утверждение ФОИВ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БПГУ.022 Просмотр документов ФОИВ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6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Ответственный ФОИВ: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Формирование классификаторов государственных и муниципальных услуг и работ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БПГУ.001 Ввод данных ответственный ФОИВ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БПГУ.002 Согласование ответственный ФОИВ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БПГУ.003 Утверждение ответственный ФОИВ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БПГУ.021 Просмотр всех документов ответственного ФОИВ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794"/>
        </w:trPr>
        <w:tc>
          <w:tcPr>
            <w:tcW w:w="73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6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Клиент: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Открытие казначейских счетов</w:t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КС.005 Исполнитель клиент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794"/>
        </w:trPr>
        <w:tc>
          <w:tcPr>
            <w:tcW w:w="73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6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Клиент: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Банковские карты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БК.001 Исполнитель Клиент 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794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БК.002 Согласующий Клиент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794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БК.003. Утверждающий клиент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964" w:hRule="exact"/>
        </w:trPr>
        <w:tc>
          <w:tcPr>
            <w:gridSpan w:val="4"/>
            <w:tcW w:w="9803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tLeast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Для сотрудников Федерального казначейства, Межрегионального операционного управления Федерального казначейства,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Межрегионального управления Федерального казначейства по централизованной обработке данных</w:t>
            </w:r>
            <w:bookmarkStart w:id="1" w:name="_GoBack"/>
            <w:r>
              <w:rPr>
                <w:color w:val="000000" w:themeColor="text1"/>
              </w:rPr>
            </w:r>
            <w:bookmarkEnd w:id="1"/>
            <w:r>
              <w:rPr>
                <w:rFonts w:ascii="Times New Roman" w:hAnsi="Times New Roman"/>
                <w:b/>
                <w:color w:val="000000" w:themeColor="text1"/>
              </w:rPr>
              <w:t xml:space="preserve">,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территориальных органов Федерального казначейства, федерального казенного учреждения «Центр по обеспечению деятельности Казначейства России»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Межрегиональных управлений Федерального казначейст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в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а</w:t>
            </w:r>
            <w:r>
              <w:rPr>
                <w:rFonts w:ascii="Times New Roman" w:hAnsi="Times New Roman"/>
                <w:b/>
                <w:color w:val="000000" w:themeColor="text1"/>
              </w:rPr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737"/>
        </w:trPr>
        <w:tc>
          <w:tcPr>
            <w:tcW w:w="73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6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Централизованное ведение и распространение нормативно-справочной информации</w:t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pStyle w:val="1070"/>
              <w:jc w:val="left"/>
              <w:spacing w:before="120" w:after="120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001.Ввод данных НСИ</w:t>
            </w:r>
            <w:r>
              <w:rPr>
                <w:color w:val="000000" w:themeColor="text1"/>
                <w:sz w:val="20"/>
              </w:rPr>
            </w:r>
            <w:r>
              <w:rPr>
                <w:color w:val="000000" w:themeColor="text1"/>
                <w:sz w:val="20"/>
              </w:rPr>
            </w:r>
          </w:p>
        </w:tc>
      </w:tr>
      <w:tr>
        <w:tblPrEx/>
        <w:trPr>
          <w:cantSplit/>
          <w:jc w:val="center"/>
          <w:trHeight w:val="73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</w:r>
            <w:r>
              <w:rPr>
                <w:rFonts w:ascii="Times New Roman" w:hAnsi="Times New Roman"/>
                <w:bCs/>
                <w:color w:val="000000"/>
              </w:rPr>
            </w:r>
            <w:r>
              <w:rPr>
                <w:rFonts w:ascii="Times New Roman" w:hAnsi="Times New Roman"/>
                <w:bCs/>
                <w:color w:val="000000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pStyle w:val="1070"/>
              <w:jc w:val="left"/>
              <w:spacing w:before="120" w:after="120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002.Утверждение НСИ</w:t>
            </w:r>
            <w:r>
              <w:rPr>
                <w:color w:val="000000" w:themeColor="text1"/>
                <w:sz w:val="20"/>
              </w:rPr>
            </w:r>
            <w:r>
              <w:rPr>
                <w:color w:val="000000" w:themeColor="text1"/>
                <w:sz w:val="20"/>
              </w:rPr>
            </w:r>
          </w:p>
        </w:tc>
      </w:tr>
      <w:tr>
        <w:tblPrEx/>
        <w:trPr>
          <w:cantSplit/>
          <w:jc w:val="center"/>
          <w:trHeight w:val="737"/>
        </w:trPr>
        <w:tc>
          <w:tcPr>
            <w:tcW w:w="73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6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Сотрудник ФК/ТОФК/МОУ: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Открытие (переоформление, закрытие) лицевых счетов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ЛС.001 Исполнитель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73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ЛС.002 Согласующий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73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ЛС.003 Утверждающий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73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ЛС.005 Чтение всех документов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680"/>
        </w:trPr>
        <w:tc>
          <w:tcPr>
            <w:tcW w:w="73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6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Центр специализации: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Открытие (переоформление, закрытие) лицевых счетов.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ЛС.009 Исполнитель ЦС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680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ЛС.010 Согласующий ЦС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680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ЛС.011 Утверждающий ЦС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680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ЛС.005 Чтение всех документов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6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Специалист ТОФК по ведению справочников группы «Банки»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vMerge w:val="restart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РУБПНУБП.011 Специалист ТОФК по ведению справочников группы «Банки»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vMerge w:val="continue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vMerge w:val="continue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vMerge w:val="continue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6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Сотрудник ФК/ТОФК/ЦОКР/МОУ: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Формирование и ведение реестра участников бюджетного процесса, а также юридических лиц, не являющихся участниками бюджетного процесса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1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РУБПНУБП.004 Координация ОрФК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11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РУБПНУБП.005 Формирование решения ОрФК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11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РУБПНУБП.001 Ввод данных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РУБПНУБП.002 Согласование УО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19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РУБПНУБП.006 Согласование ОрФК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8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РУБПНУБП.007 Утверждение ОрФК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18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РУБПНУБП.003 Утверждение УО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7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РУБПНУБП.009 - Чтение всех документов УО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17"/>
              </w:numPr>
              <w:ind w:left="357" w:hanging="357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РУБПНУБП.010 - Чтение всех документов всех УО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10"/>
        </w:trPr>
        <w:tc>
          <w:tcPr>
            <w:tcW w:w="73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6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Сотрудник ФК/ТОФК/ЦОКР/МОУ: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Открытие казначейских счетов 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КС.001 Исполнитель ТОФК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10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КС.002 Бухгалтер ТОФК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10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  <w:r>
              <w:rPr>
                <w:rFonts w:ascii="Times New Roman" w:hAnsi="Times New Roman"/>
                <w:spacing w:val="6"/>
                <w:highlight w:val="yellow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КС.003 Утверждающий ТОФК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cantSplit/>
          <w:jc w:val="center"/>
          <w:trHeight w:val="510"/>
        </w:trPr>
        <w:tc>
          <w:tcPr>
            <w:tcW w:w="73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6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Сотрудник ФК/ТОФК/ЦОКР/МОУ: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ОПЕРО - Открытие казначейских счетов</w:t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  <w:highlight w:val="yellow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КС.008 Исполнитель ОперО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152"/>
        </w:trPr>
        <w:tc>
          <w:tcPr>
            <w:tcW w:w="73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6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Сотрудник ФК/ТОФК/ЦОКР/МОУ: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Банковские карты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БК.004. Исполнитель ТОФК 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150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БК.005 Согласующий ТОФК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150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БК.006. Утверждающий ТОФК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10"/>
        </w:trPr>
        <w:tc>
          <w:tcPr>
            <w:tcW w:w="73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6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Сотрудник ФК/ТОФК/ЦОКР/МОУ/МЦОД/МУФК: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Аудитор</w:t>
            </w:r>
            <w:r>
              <w:rPr>
                <w:rStyle w:val="1013"/>
                <w:rFonts w:ascii="Times New Roman" w:hAnsi="Times New Roman"/>
                <w:color w:val="000000" w:themeColor="text1"/>
                <w:spacing w:val="6"/>
              </w:rPr>
              <w:endnoteReference w:id="4"/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 всех документов и справочников в навигации по своей организации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НСИ.003.Аудитор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1715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color w:val="ff0000"/>
                <w:spacing w:val="6"/>
              </w:rPr>
            </w:pP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  <w:r>
              <w:rPr>
                <w:rFonts w:ascii="Times New Roman" w:hAnsi="Times New Roman"/>
                <w:color w:val="ff0000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ff0000"/>
              </w:rPr>
            </w:pPr>
            <w:r>
              <w:rPr>
                <w:rFonts w:ascii="Times New Roman" w:hAnsi="Times New Roman"/>
                <w:bCs/>
                <w:color w:val="ff0000"/>
              </w:rPr>
            </w:r>
            <w:r>
              <w:rPr>
                <w:rFonts w:ascii="Times New Roman" w:hAnsi="Times New Roman"/>
                <w:bCs/>
                <w:color w:val="ff0000"/>
              </w:rPr>
            </w:r>
            <w:r>
              <w:rPr>
                <w:rFonts w:ascii="Times New Roman" w:hAnsi="Times New Roman"/>
                <w:bCs/>
                <w:color w:val="ff0000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 всех документов всех организаций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(режимная роль, добавляет на списковую форму кнопку «Просмотр всего»)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CRT_НСИ.002. Просмотр документов всех организаций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2978"/>
        </w:trPr>
        <w:tc>
          <w:tcPr>
            <w:tcW w:w="73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6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Сотрудник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ФК/ЦОКР/МОУ/МЦОД/МУФК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Администрирование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ЛС.004 Администратор НСИ ФК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РУБПНУБП.008 Администратор НСИ ФК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РУБПНУБП.010 - Чтение всех документов всех УО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ЛС.005 Чтение всех документов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КС.004 Администратор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БПГУ.030 Администратор распространения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БПГУ.777 Просмотр базовых перечней государственных услуг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БПГУ.008 Администратор централизованных справочников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964" w:hRule="exact"/>
        </w:trPr>
        <w:tc>
          <w:tcPr>
            <w:gridSpan w:val="4"/>
            <w:tcW w:w="9803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tLeast"/>
              <w:rPr>
                <w:rFonts w:ascii="Times New Roman" w:hAnsi="Times New Roman"/>
                <w:b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Для сотрудников Министерства финансов Российской Федерации</w:t>
            </w: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b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850"/>
        </w:trPr>
        <w:tc>
          <w:tcPr>
            <w:tcW w:w="73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6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Курирующий департамент Министерства финансов: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Формирование классификаторов государственных и муниципальных услуг и работ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БПГУ.009 Ввод данных МФ РФ КД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850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БПГУ.010 Согласование МФ РФ КД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850"/>
        </w:trPr>
        <w:tc>
          <w:tcPr>
            <w:tcBorders>
              <w:bottom w:val="single" w:color="000000" w:sz="4" w:space="0"/>
            </w:tcBorders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Borders>
              <w:bottom w:val="single" w:color="000000" w:sz="4" w:space="0"/>
            </w:tcBorders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bottom w:val="single" w:color="000000" w:sz="4" w:space="0"/>
            </w:tcBorders>
            <w:tcW w:w="20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Borders>
              <w:bottom w:val="single" w:color="000000" w:sz="4" w:space="0"/>
            </w:tcBorders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БПГУ.027 Утверждение МФ РФ КД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6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Согласующий департамент Министерства финансов: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Формирование классификаторов государственных и муниципальных услуг и работ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Ввод данных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БПГУ.012 Координатор МФ РФ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Согласование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БПГУ.028 Согласование МФ РФ СД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БПГУ.029 Утверждение МФ РФ СД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bottom w:val="single" w:color="000000" w:sz="4" w:space="0"/>
            </w:tcBorders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Borders>
              <w:bottom w:val="single" w:color="000000" w:sz="4" w:space="0"/>
            </w:tcBorders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bottom w:val="single" w:color="000000" w:sz="4" w:space="0"/>
            </w:tcBorders>
            <w:tcW w:w="20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Borders>
              <w:bottom w:val="single" w:color="000000" w:sz="4" w:space="0"/>
            </w:tcBorders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БПГУ.023 Просмотр всех документов Минфина России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none" w:color="000000" w:sz="4" w:space="0"/>
            </w:tcBorders>
            <w:tcW w:w="73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Borders>
              <w:top w:val="none" w:color="000000" w:sz="4" w:space="0"/>
            </w:tcBorders>
            <w:tcW w:w="36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Министерство финансов Российской Федерации: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Формирование классификаторов государственных и муниципальных услуг и работ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Borders>
              <w:top w:val="none" w:color="000000" w:sz="4" w:space="0"/>
            </w:tcBorders>
            <w:tcW w:w="20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Утверждение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Borders>
              <w:top w:val="none" w:color="000000" w:sz="4" w:space="0"/>
            </w:tcBorders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БПГУ.011 Утверждение МФ РФ ЗМ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БПГУ.023 Просмотр всех документов Минфина России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gridSpan w:val="4"/>
            <w:tcW w:w="980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Для оператора ГИИС «Электронный бюджет»</w:t>
            </w:r>
            <w:r>
              <w:rPr>
                <w:rStyle w:val="1013"/>
                <w:rFonts w:ascii="Times New Roman" w:hAnsi="Times New Roman"/>
                <w:b/>
                <w:color w:val="000000" w:themeColor="text1"/>
              </w:rPr>
              <w:endnoteReference w:id="5"/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cantSplit/>
          <w:jc w:val="center"/>
          <w:trHeight w:val="3600"/>
        </w:trPr>
        <w:tc>
          <w:tcPr>
            <w:tcW w:w="73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610" w:type="dxa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Оператор ГИИС «Электронный бюджет»: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Мониторинг и сопровождение НСИ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Просмотр НСИ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2"/>
              </w:num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ЛС.005 Чтение всех документов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numPr>
                <w:ilvl w:val="0"/>
                <w:numId w:val="22"/>
              </w:num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БПГУ.777 Просмотр базовых перечней государственных услуг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22"/>
              </w:numPr>
              <w:spacing w:before="120" w:after="12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РУБПНУБП.009 - Чтение всех документов УО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numPr>
                <w:ilvl w:val="0"/>
                <w:numId w:val="22"/>
              </w:num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РУБПНУБП.010 - Чтение всех документов 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всех УО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jc w:val="center"/>
          <w:trHeight w:val="753"/>
        </w:trPr>
        <w:tc>
          <w:tcPr>
            <w:gridSpan w:val="4"/>
            <w:tcW w:w="9803" w:type="dxa"/>
            <w:vAlign w:val="center"/>
            <w:vMerge w:val="restart"/>
            <w:textDirection w:val="lrTb"/>
            <w:noWrap w:val="false"/>
          </w:tcPr>
          <w:p>
            <w:pPr>
              <w:ind w:left="720"/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Для сотрудников Счетной палаты Российской Федерации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и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для сотрудников контрольных (надзорных) органов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jc w:val="center"/>
          <w:trHeight w:val="2028"/>
        </w:trPr>
        <w:tc>
          <w:tcPr>
            <w:tcW w:w="73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jc w:val="center"/>
              <w:spacing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36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Контрольные (надзорные) органы, наделенные полномочиями по осуществлению государственного контроля (надзора) в соответствии с законодательством Российской Федерации: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209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 всех документов и справочников в навигации по своей организации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vMerge w:val="restart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НСИ.003.Аудитор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  <w:tr>
        <w:tblPrEx/>
        <w:trPr>
          <w:jc w:val="center"/>
          <w:trHeight w:val="2116"/>
        </w:trPr>
        <w:tc>
          <w:tcPr>
            <w:tcW w:w="730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610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09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Просмотр всех документов всех организаций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  <w:p>
            <w:pPr>
              <w:jc w:val="center"/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(режимная роль, добавляет на списковую форму кнопку «Просмотр всего»)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  <w:tc>
          <w:tcPr>
            <w:tcW w:w="3368" w:type="dxa"/>
            <w:vAlign w:val="center"/>
            <w:vMerge w:val="restart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color w:val="000000" w:themeColor="text1"/>
                <w:spacing w:val="6"/>
              </w:rPr>
            </w:pPr>
            <w:r>
              <w:rPr>
                <w:rFonts w:ascii="Times New Roman" w:hAnsi="Times New Roman"/>
                <w:color w:val="000000" w:themeColor="text1"/>
                <w:spacing w:val="6"/>
              </w:rPr>
              <w:t xml:space="preserve">CRT_НСИ.002. Просмотр документов всех организаций</w:t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  <w:r>
              <w:rPr>
                <w:rFonts w:ascii="Times New Roman" w:hAnsi="Times New Roman"/>
                <w:color w:val="000000" w:themeColor="text1"/>
                <w:spacing w:val="6"/>
              </w:rPr>
            </w:r>
          </w:p>
        </w:tc>
      </w:tr>
    </w:tbl>
    <w:p>
      <w:r/>
      <w:r/>
    </w:p>
    <w:sectPr>
      <w:headerReference w:type="default" r:id="rId9"/>
      <w:footerReference w:type="first" r:id="rId10"/>
      <w:footnotePr/>
      <w:endnotePr/>
      <w:type w:val="nextPage"/>
      <w:pgSz w:w="11906" w:h="16838" w:orient="portrait"/>
      <w:pgMar w:top="1134" w:right="851" w:bottom="993" w:left="1418" w:header="284" w:footer="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  <w:endnote w:id="2">
    <w:p>
      <w:pPr>
        <w:pStyle w:val="1011"/>
        <w:jc w:val="both"/>
        <w:rPr>
          <w:rFonts w:ascii="Times New Roman" w:hAnsi="Times New Roman"/>
        </w:rPr>
      </w:pPr>
      <w:r>
        <w:rPr>
          <w:rStyle w:val="1013"/>
        </w:rPr>
        <w:endnoteRef/>
      </w:r>
      <w:r>
        <w:t xml:space="preserve"> </w:t>
      </w:r>
      <w:r>
        <w:rPr>
          <w:rFonts w:ascii="Times New Roman" w:hAnsi="Times New Roman"/>
        </w:rPr>
        <w:t xml:space="preserve">Подсистема обеспечения информационной безопасности Системы обеспечения безопасности информации Федерального казначейства. Для наделения сотрудника Федерального казначейства полномочиями, настроенными в ПОИБ СОБИ для работы в Подсистеме НСИ следует использо</w:t>
      </w:r>
      <w:r>
        <w:rPr>
          <w:rFonts w:ascii="Times New Roman" w:hAnsi="Times New Roman"/>
        </w:rPr>
        <w:t xml:space="preserve">вать рекомендации, представленные в служебной записке от 20.01.2022 № 11-06-03/3.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011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endnote>
  <w:endnote w:id="3">
    <w:p>
      <w:pPr>
        <w:ind w:right="139"/>
        <w:jc w:val="both"/>
        <w:rPr>
          <w:rFonts w:ascii="Times New Roman" w:hAnsi="Times New Roman"/>
        </w:rPr>
      </w:pPr>
      <w:r>
        <w:rPr>
          <w:rStyle w:val="1013"/>
        </w:rPr>
        <w:endnoteRef/>
      </w:r>
      <w:r>
        <w:t xml:space="preserve"> </w:t>
      </w:r>
      <w:r>
        <w:rPr>
          <w:rFonts w:ascii="Times New Roman" w:hAnsi="Times New Roman"/>
        </w:rPr>
        <w:t xml:space="preserve">Под клиентом понимается: Участник бюджетного процесса, бюджетное (автономное) учреждение, организация, иное юридическое лицо, крестьянское (фермерское) хозяйство, индивиду</w:t>
      </w:r>
      <w:r>
        <w:rPr>
          <w:rFonts w:ascii="Times New Roman" w:hAnsi="Times New Roman"/>
        </w:rPr>
        <w:t xml:space="preserve">альный предприниматель, которым в соответствии с Порядком открытия и ведения лицевых счетов территориальными органами Федерального казначейства открываются лицевые счета в органе Федерального казначейства.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011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endnote>
  <w:endnote w:id="4">
    <w:p>
      <w:pPr>
        <w:ind w:right="139"/>
        <w:jc w:val="both"/>
        <w:rPr>
          <w:rFonts w:ascii="Times New Roman" w:hAnsi="Times New Roman"/>
          <w:color w:val="000000" w:themeColor="text1"/>
          <w:highlight w:val="none"/>
        </w:rPr>
      </w:pPr>
      <w:r>
        <w:rPr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Полномочие «Аудитор» назначается исключительно для проведения проверок контрольно-надзорными органами или сотрудникам ТОФК участвующим в подобных проверочных мероприятиях с указанием периода</w:t>
      </w:r>
      <w:r>
        <w:rPr>
          <w:rFonts w:ascii="Times New Roman" w:hAnsi="Times New Roman"/>
          <w:color w:val="000000" w:themeColor="text1"/>
        </w:rPr>
        <w:t xml:space="preserve"> действия роли согласно срока проведения проверки.</w:t>
      </w:r>
      <w:r>
        <w:rPr>
          <w:rFonts w:ascii="Times New Roman" w:hAnsi="Times New Roman"/>
          <w:color w:val="000000" w:themeColor="text1"/>
          <w:highlight w:val="none"/>
        </w:rPr>
      </w:r>
      <w:r>
        <w:rPr>
          <w:rFonts w:ascii="Times New Roman" w:hAnsi="Times New Roman"/>
          <w:color w:val="000000" w:themeColor="text1"/>
          <w:highlight w:val="none"/>
        </w:rPr>
      </w:r>
    </w:p>
    <w:p>
      <w:pPr>
        <w:ind w:right="139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  <w:highlight w:val="none"/>
        </w:rPr>
      </w:r>
      <w:r>
        <w:rPr>
          <w:rFonts w:ascii="Times New Roman" w:hAnsi="Times New Roman"/>
          <w:color w:val="000000" w:themeColor="text1"/>
        </w:rPr>
      </w:r>
      <w:r>
        <w:rPr>
          <w:rFonts w:ascii="Times New Roman" w:hAnsi="Times New Roman"/>
          <w:color w:val="000000" w:themeColor="text1"/>
        </w:rPr>
      </w:r>
    </w:p>
  </w:endnote>
  <w:endnote w:id="5">
    <w:p>
      <w:pPr>
        <w:pStyle w:val="1011"/>
      </w:pPr>
      <w:r>
        <w:rPr>
          <w:rStyle w:val="1013"/>
        </w:rPr>
        <w:endnoteRef/>
      </w:r>
      <w:r>
        <w:t xml:space="preserve"> </w:t>
      </w:r>
      <w:r>
        <w:rPr>
          <w:rFonts w:ascii="Times New Roman" w:hAnsi="Times New Roman"/>
          <w:spacing w:val="6"/>
        </w:rPr>
        <w:t xml:space="preserve">Под оператором ГИИС «Электронный бюджет</w:t>
      </w:r>
      <w:r>
        <w:rPr>
          <w:rFonts w:ascii="Times New Roman" w:hAnsi="Times New Roman"/>
          <w:spacing w:val="6"/>
        </w:rPr>
        <w:t xml:space="preserve"> понимается</w:t>
      </w:r>
      <w:r>
        <w:rPr>
          <w:rFonts w:ascii="Times New Roman" w:hAnsi="Times New Roman"/>
          <w:spacing w:val="6"/>
        </w:rPr>
        <w:t xml:space="preserve">: Федеральное казначейство, </w:t>
      </w:r>
      <w:r>
        <w:rPr>
          <w:rFonts w:ascii="Times New Roman" w:hAnsi="Times New Roman"/>
          <w:spacing w:val="6"/>
        </w:rPr>
        <w:t xml:space="preserve">Федеральное </w:t>
      </w:r>
      <w:r>
        <w:rPr>
          <w:rFonts w:ascii="Times New Roman" w:hAnsi="Times New Roman"/>
          <w:spacing w:val="6"/>
        </w:rPr>
        <w:t xml:space="preserve">казенное учр</w:t>
      </w:r>
      <w:r>
        <w:rPr>
          <w:rFonts w:ascii="Times New Roman" w:hAnsi="Times New Roman"/>
          <w:spacing w:val="6"/>
        </w:rPr>
        <w:t xml:space="preserve">еждение «Центр по обеспечению деятельности Казначейства России», Министерство финансов Российской Федерации. Дополнительно полномочие назначается сотрудникам территориального органа Федерального казначейства, уполномоченным на проведение мониторинга данных</w:t>
      </w:r>
      <w:r>
        <w:rPr>
          <w:rFonts w:ascii="Times New Roman" w:hAnsi="Times New Roman"/>
          <w:spacing w:val="6"/>
        </w:rPr>
        <w:t xml:space="preserve"> нормативно-справочной информации.</w:t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7"/>
    </w:pPr>
    <w:r/>
    <w:r/>
  </w:p>
  <w:p>
    <w:pPr>
      <w:pStyle w:val="87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ru-RU"/>
      </w:rPr>
      <w:t xml:space="preserve">6</w:t>
    </w:r>
    <w:r>
      <w:fldChar w:fldCharType="end"/>
    </w:r>
    <w:r/>
  </w:p>
  <w:p>
    <w:pPr>
      <w:pStyle w:val="875"/>
      <w:jc w:val="center"/>
      <w:rPr>
        <w:lang w:val="ru-RU"/>
      </w:rPr>
    </w:pPr>
    <w:r>
      <w:rPr>
        <w:lang w:val="ru-RU"/>
      </w:rPr>
    </w:r>
    <w:r>
      <w:rPr>
        <w:lang w:val="ru-RU"/>
      </w:rPr>
    </w:r>
    <w:r>
      <w:rPr>
        <w:lang w:val="ru-RU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pStyle w:val="1067"/>
      <w:isLgl w:val="false"/>
      <w:suff w:val="tab"/>
      <w:lvlText w:val=""/>
      <w:lvlJc w:val="left"/>
      <w:pPr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3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pStyle w:val="1025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</w:lvl>
    <w:lvl w:ilvl="1">
      <w:start w:val="1"/>
      <w:numFmt w:val="decimal"/>
      <w:pStyle w:val="1026"/>
      <w:isLgl w:val="false"/>
      <w:suff w:val="tab"/>
      <w:lvlText w:val="%1.%2."/>
      <w:lvlJc w:val="left"/>
      <w:pPr>
        <w:ind w:left="567" w:hanging="567"/>
        <w:tabs>
          <w:tab w:val="num" w:pos="567" w:leader="none"/>
        </w:tabs>
      </w:pPr>
      <w:rPr>
        <w:rFonts w:ascii="Times New Roman" w:hAnsi="Times New Roman"/>
        <w:b/>
        <w:i w:val="0"/>
        <w:sz w:val="32"/>
        <w:szCs w:val="32"/>
      </w:rPr>
    </w:lvl>
    <w:lvl w:ilvl="2">
      <w:start w:val="1"/>
      <w:numFmt w:val="decimal"/>
      <w:pStyle w:val="1027"/>
      <w:isLgl w:val="false"/>
      <w:suff w:val="tab"/>
      <w:lvlText w:val="%1.%2.%3."/>
      <w:lvlJc w:val="left"/>
      <w:pPr>
        <w:ind w:left="964" w:hanging="964"/>
        <w:tabs>
          <w:tab w:val="num" w:pos="964" w:leader="none"/>
        </w:tabs>
      </w:pPr>
      <w:rPr>
        <w:rFonts w:ascii="Times New Roman" w:hAnsi="Times New Roman"/>
        <w:b/>
        <w:i w:val="0"/>
        <w:sz w:val="28"/>
        <w:szCs w:val="28"/>
      </w:rPr>
    </w:lvl>
    <w:lvl w:ilvl="3">
      <w:start w:val="1"/>
      <w:numFmt w:val="decimal"/>
      <w:pStyle w:val="1028"/>
      <w:isLgl w:val="false"/>
      <w:suff w:val="tab"/>
      <w:lvlText w:val="%1.%2.%3.%4."/>
      <w:lvlJc w:val="left"/>
      <w:pPr>
        <w:ind w:left="1134" w:hanging="1134"/>
        <w:tabs>
          <w:tab w:val="num" w:pos="1134" w:leader="none"/>
        </w:tabs>
      </w:pPr>
      <w:rPr>
        <w:rFonts w:ascii="Times New Roman" w:hAnsi="Times New Roman"/>
        <w:b/>
        <w:i w:val="0"/>
        <w:sz w:val="24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4" w:hanging="1008"/>
        <w:tabs>
          <w:tab w:val="num" w:pos="724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868" w:hanging="1152"/>
        <w:tabs>
          <w:tab w:val="num" w:pos="868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012" w:hanging="1296"/>
        <w:tabs>
          <w:tab w:val="num" w:pos="1012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56" w:hanging="1440"/>
        <w:tabs>
          <w:tab w:val="num" w:pos="1156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300" w:hanging="1584"/>
        <w:tabs>
          <w:tab w:val="num" w:pos="130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5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7"/>
  </w:num>
  <w:num w:numId="3">
    <w:abstractNumId w:val="9"/>
  </w:num>
  <w:num w:numId="4">
    <w:abstractNumId w:val="3"/>
  </w:num>
  <w:num w:numId="5">
    <w:abstractNumId w:val="22"/>
  </w:num>
  <w:num w:numId="6">
    <w:abstractNumId w:val="2"/>
  </w:num>
  <w:num w:numId="7">
    <w:abstractNumId w:val="21"/>
  </w:num>
  <w:num w:numId="8">
    <w:abstractNumId w:val="18"/>
  </w:num>
  <w:num w:numId="9">
    <w:abstractNumId w:val="0"/>
  </w:num>
  <w:num w:numId="10">
    <w:abstractNumId w:val="15"/>
  </w:num>
  <w:num w:numId="11">
    <w:abstractNumId w:val="13"/>
  </w:num>
  <w:num w:numId="12">
    <w:abstractNumId w:val="10"/>
  </w:num>
  <w:num w:numId="13">
    <w:abstractNumId w:val="16"/>
  </w:num>
  <w:num w:numId="14">
    <w:abstractNumId w:val="4"/>
  </w:num>
  <w:num w:numId="15">
    <w:abstractNumId w:val="14"/>
  </w:num>
  <w:num w:numId="16">
    <w:abstractNumId w:val="6"/>
  </w:num>
  <w:num w:numId="17">
    <w:abstractNumId w:val="12"/>
  </w:num>
  <w:num w:numId="18">
    <w:abstractNumId w:val="7"/>
  </w:num>
  <w:num w:numId="19">
    <w:abstractNumId w:val="1"/>
  </w:num>
  <w:num w:numId="20">
    <w:abstractNumId w:val="5"/>
  </w:num>
  <w:num w:numId="21">
    <w:abstractNumId w:val="19"/>
  </w:num>
  <w:num w:numId="22">
    <w:abstractNumId w:val="8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1" w:default="1">
    <w:name w:val="Normal"/>
    <w:qFormat/>
  </w:style>
  <w:style w:type="paragraph" w:styleId="812">
    <w:name w:val="Heading 1"/>
    <w:link w:val="8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813">
    <w:name w:val="Heading 2"/>
    <w:link w:val="8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14">
    <w:name w:val="Heading 3"/>
    <w:link w:val="8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15">
    <w:name w:val="Heading 4"/>
    <w:link w:val="85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16">
    <w:name w:val="Heading 5"/>
    <w:link w:val="86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17">
    <w:name w:val="Heading 6"/>
    <w:link w:val="86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18">
    <w:name w:val="Heading 7"/>
    <w:link w:val="86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19">
    <w:name w:val="Heading 8"/>
    <w:link w:val="86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20">
    <w:name w:val="Heading 9"/>
    <w:link w:val="86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21" w:default="1">
    <w:name w:val="Default Paragraph Font"/>
    <w:uiPriority w:val="1"/>
    <w:semiHidden/>
    <w:unhideWhenUsed/>
  </w:style>
  <w:style w:type="table" w:styleId="8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3" w:default="1">
    <w:name w:val="No List"/>
    <w:uiPriority w:val="99"/>
    <w:semiHidden/>
    <w:unhideWhenUsed/>
  </w:style>
  <w:style w:type="character" w:styleId="824" w:customStyle="1">
    <w:name w:val="Heading 1 Char"/>
    <w:basedOn w:val="821"/>
    <w:uiPriority w:val="9"/>
    <w:rPr>
      <w:rFonts w:ascii="Arial" w:hAnsi="Arial" w:eastAsia="Arial" w:cs="Arial"/>
      <w:sz w:val="40"/>
      <w:szCs w:val="40"/>
    </w:rPr>
  </w:style>
  <w:style w:type="character" w:styleId="825" w:customStyle="1">
    <w:name w:val="Heading 2 Char"/>
    <w:basedOn w:val="821"/>
    <w:uiPriority w:val="9"/>
    <w:rPr>
      <w:rFonts w:ascii="Arial" w:hAnsi="Arial" w:eastAsia="Arial" w:cs="Arial"/>
      <w:sz w:val="34"/>
    </w:rPr>
  </w:style>
  <w:style w:type="character" w:styleId="826" w:customStyle="1">
    <w:name w:val="Heading 3 Char"/>
    <w:basedOn w:val="821"/>
    <w:uiPriority w:val="9"/>
    <w:rPr>
      <w:rFonts w:ascii="Arial" w:hAnsi="Arial" w:eastAsia="Arial" w:cs="Arial"/>
      <w:sz w:val="30"/>
      <w:szCs w:val="30"/>
    </w:rPr>
  </w:style>
  <w:style w:type="character" w:styleId="827" w:customStyle="1">
    <w:name w:val="Heading 4 Char"/>
    <w:basedOn w:val="821"/>
    <w:uiPriority w:val="9"/>
    <w:rPr>
      <w:rFonts w:ascii="Arial" w:hAnsi="Arial" w:eastAsia="Arial" w:cs="Arial"/>
      <w:b/>
      <w:bCs/>
      <w:sz w:val="26"/>
      <w:szCs w:val="26"/>
    </w:rPr>
  </w:style>
  <w:style w:type="character" w:styleId="828" w:customStyle="1">
    <w:name w:val="Heading 5 Char"/>
    <w:basedOn w:val="821"/>
    <w:uiPriority w:val="9"/>
    <w:rPr>
      <w:rFonts w:ascii="Arial" w:hAnsi="Arial" w:eastAsia="Arial" w:cs="Arial"/>
      <w:b/>
      <w:bCs/>
      <w:sz w:val="24"/>
      <w:szCs w:val="24"/>
    </w:rPr>
  </w:style>
  <w:style w:type="character" w:styleId="829" w:customStyle="1">
    <w:name w:val="Heading 6 Char"/>
    <w:basedOn w:val="821"/>
    <w:uiPriority w:val="9"/>
    <w:rPr>
      <w:rFonts w:ascii="Arial" w:hAnsi="Arial" w:eastAsia="Arial" w:cs="Arial"/>
      <w:b/>
      <w:bCs/>
      <w:sz w:val="22"/>
      <w:szCs w:val="22"/>
    </w:rPr>
  </w:style>
  <w:style w:type="character" w:styleId="830" w:customStyle="1">
    <w:name w:val="Heading 7 Char"/>
    <w:basedOn w:val="82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1" w:customStyle="1">
    <w:name w:val="Heading 8 Char"/>
    <w:basedOn w:val="821"/>
    <w:uiPriority w:val="9"/>
    <w:rPr>
      <w:rFonts w:ascii="Arial" w:hAnsi="Arial" w:eastAsia="Arial" w:cs="Arial"/>
      <w:i/>
      <w:iCs/>
      <w:sz w:val="22"/>
      <w:szCs w:val="22"/>
    </w:rPr>
  </w:style>
  <w:style w:type="character" w:styleId="832" w:customStyle="1">
    <w:name w:val="Heading 9 Char"/>
    <w:basedOn w:val="821"/>
    <w:uiPriority w:val="9"/>
    <w:rPr>
      <w:rFonts w:ascii="Arial" w:hAnsi="Arial" w:eastAsia="Arial" w:cs="Arial"/>
      <w:i/>
      <w:iCs/>
      <w:sz w:val="21"/>
      <w:szCs w:val="21"/>
    </w:rPr>
  </w:style>
  <w:style w:type="character" w:styleId="833" w:customStyle="1">
    <w:name w:val="Title Char"/>
    <w:basedOn w:val="821"/>
    <w:uiPriority w:val="10"/>
    <w:rPr>
      <w:sz w:val="48"/>
      <w:szCs w:val="48"/>
    </w:rPr>
  </w:style>
  <w:style w:type="character" w:styleId="834" w:customStyle="1">
    <w:name w:val="Subtitle Char"/>
    <w:basedOn w:val="821"/>
    <w:uiPriority w:val="11"/>
    <w:rPr>
      <w:sz w:val="24"/>
      <w:szCs w:val="24"/>
    </w:rPr>
  </w:style>
  <w:style w:type="character" w:styleId="835" w:customStyle="1">
    <w:name w:val="Quote Char"/>
    <w:uiPriority w:val="29"/>
    <w:rPr>
      <w:i/>
    </w:rPr>
  </w:style>
  <w:style w:type="character" w:styleId="836" w:customStyle="1">
    <w:name w:val="Intense Quote Char"/>
    <w:uiPriority w:val="30"/>
    <w:rPr>
      <w:i/>
    </w:rPr>
  </w:style>
  <w:style w:type="table" w:styleId="837">
    <w:name w:val="Plain Table 1"/>
    <w:basedOn w:val="82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8">
    <w:name w:val="Plain Table 2"/>
    <w:basedOn w:val="82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9">
    <w:name w:val="Plain Table 3"/>
    <w:basedOn w:val="82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0">
    <w:name w:val="Plain Table 4"/>
    <w:basedOn w:val="82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Plain Table 5"/>
    <w:basedOn w:val="82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2">
    <w:name w:val="Grid Table 1 Light"/>
    <w:basedOn w:val="82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Grid Table 2"/>
    <w:basedOn w:val="82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3"/>
    <w:basedOn w:val="82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4"/>
    <w:basedOn w:val="82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6">
    <w:name w:val="Grid Table 5 Dark"/>
    <w:basedOn w:val="82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47">
    <w:name w:val="Grid Table 6 Colorful"/>
    <w:basedOn w:val="82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8">
    <w:name w:val="Grid Table 7 Colorful"/>
    <w:basedOn w:val="82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"/>
    <w:basedOn w:val="82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2"/>
    <w:basedOn w:val="82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1">
    <w:name w:val="List Table 3"/>
    <w:basedOn w:val="82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"/>
    <w:basedOn w:val="82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5 Dark"/>
    <w:basedOn w:val="82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4">
    <w:name w:val="List Table 6 Colorful"/>
    <w:basedOn w:val="82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5">
    <w:name w:val="List Table 7 Colorful"/>
    <w:basedOn w:val="82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856" w:customStyle="1">
    <w:name w:val="Заголовок 1 Знак"/>
    <w:link w:val="812"/>
    <w:uiPriority w:val="9"/>
    <w:rPr>
      <w:rFonts w:ascii="Arial" w:hAnsi="Arial" w:eastAsia="Arial" w:cs="Arial"/>
      <w:sz w:val="40"/>
      <w:szCs w:val="40"/>
    </w:rPr>
  </w:style>
  <w:style w:type="character" w:styleId="857" w:customStyle="1">
    <w:name w:val="Заголовок 2 Знак"/>
    <w:link w:val="813"/>
    <w:uiPriority w:val="9"/>
    <w:rPr>
      <w:rFonts w:ascii="Arial" w:hAnsi="Arial" w:eastAsia="Arial" w:cs="Arial"/>
      <w:sz w:val="34"/>
    </w:rPr>
  </w:style>
  <w:style w:type="character" w:styleId="858" w:customStyle="1">
    <w:name w:val="Заголовок 3 Знак"/>
    <w:link w:val="814"/>
    <w:uiPriority w:val="9"/>
    <w:rPr>
      <w:rFonts w:ascii="Arial" w:hAnsi="Arial" w:eastAsia="Arial" w:cs="Arial"/>
      <w:sz w:val="30"/>
      <w:szCs w:val="30"/>
    </w:rPr>
  </w:style>
  <w:style w:type="character" w:styleId="859" w:customStyle="1">
    <w:name w:val="Заголовок 4 Знак"/>
    <w:link w:val="815"/>
    <w:uiPriority w:val="9"/>
    <w:rPr>
      <w:rFonts w:ascii="Arial" w:hAnsi="Arial" w:eastAsia="Arial" w:cs="Arial"/>
      <w:b/>
      <w:bCs/>
      <w:sz w:val="26"/>
      <w:szCs w:val="26"/>
    </w:rPr>
  </w:style>
  <w:style w:type="character" w:styleId="860" w:customStyle="1">
    <w:name w:val="Заголовок 5 Знак"/>
    <w:link w:val="816"/>
    <w:uiPriority w:val="9"/>
    <w:rPr>
      <w:rFonts w:ascii="Arial" w:hAnsi="Arial" w:eastAsia="Arial" w:cs="Arial"/>
      <w:b/>
      <w:bCs/>
      <w:sz w:val="24"/>
      <w:szCs w:val="24"/>
    </w:rPr>
  </w:style>
  <w:style w:type="character" w:styleId="861" w:customStyle="1">
    <w:name w:val="Заголовок 6 Знак"/>
    <w:link w:val="817"/>
    <w:uiPriority w:val="9"/>
    <w:rPr>
      <w:rFonts w:ascii="Arial" w:hAnsi="Arial" w:eastAsia="Arial" w:cs="Arial"/>
      <w:b/>
      <w:bCs/>
      <w:sz w:val="22"/>
      <w:szCs w:val="22"/>
    </w:rPr>
  </w:style>
  <w:style w:type="character" w:styleId="862" w:customStyle="1">
    <w:name w:val="Заголовок 7 Знак"/>
    <w:link w:val="81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63" w:customStyle="1">
    <w:name w:val="Заголовок 8 Знак"/>
    <w:link w:val="819"/>
    <w:uiPriority w:val="9"/>
    <w:rPr>
      <w:rFonts w:ascii="Arial" w:hAnsi="Arial" w:eastAsia="Arial" w:cs="Arial"/>
      <w:i/>
      <w:iCs/>
      <w:sz w:val="22"/>
      <w:szCs w:val="22"/>
    </w:rPr>
  </w:style>
  <w:style w:type="character" w:styleId="864" w:customStyle="1">
    <w:name w:val="Заголовок 9 Знак"/>
    <w:link w:val="820"/>
    <w:uiPriority w:val="9"/>
    <w:rPr>
      <w:rFonts w:ascii="Arial" w:hAnsi="Arial" w:eastAsia="Arial" w:cs="Arial"/>
      <w:i/>
      <w:iCs/>
      <w:sz w:val="21"/>
      <w:szCs w:val="21"/>
    </w:rPr>
  </w:style>
  <w:style w:type="paragraph" w:styleId="865">
    <w:name w:val="List Paragraph"/>
    <w:basedOn w:val="811"/>
    <w:pPr>
      <w:ind w:left="708"/>
    </w:pPr>
  </w:style>
  <w:style w:type="paragraph" w:styleId="866">
    <w:name w:val="No Spacing"/>
    <w:uiPriority w:val="1"/>
    <w:qFormat/>
  </w:style>
  <w:style w:type="paragraph" w:styleId="867">
    <w:name w:val="Title"/>
    <w:link w:val="86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68" w:customStyle="1">
    <w:name w:val="Заголовок Знак"/>
    <w:link w:val="867"/>
    <w:uiPriority w:val="10"/>
    <w:rPr>
      <w:sz w:val="48"/>
      <w:szCs w:val="48"/>
    </w:rPr>
  </w:style>
  <w:style w:type="paragraph" w:styleId="869">
    <w:name w:val="Subtitle"/>
    <w:link w:val="870"/>
    <w:uiPriority w:val="11"/>
    <w:qFormat/>
    <w:pPr>
      <w:spacing w:before="200" w:after="200"/>
    </w:pPr>
    <w:rPr>
      <w:sz w:val="24"/>
      <w:szCs w:val="24"/>
    </w:rPr>
  </w:style>
  <w:style w:type="character" w:styleId="870" w:customStyle="1">
    <w:name w:val="Подзаголовок Знак"/>
    <w:link w:val="869"/>
    <w:uiPriority w:val="11"/>
    <w:rPr>
      <w:sz w:val="24"/>
      <w:szCs w:val="24"/>
    </w:rPr>
  </w:style>
  <w:style w:type="paragraph" w:styleId="871">
    <w:name w:val="Quote"/>
    <w:link w:val="872"/>
    <w:uiPriority w:val="29"/>
    <w:qFormat/>
    <w:pPr>
      <w:ind w:left="720" w:right="720"/>
    </w:pPr>
    <w:rPr>
      <w:i/>
    </w:rPr>
  </w:style>
  <w:style w:type="character" w:styleId="872" w:customStyle="1">
    <w:name w:val="Цитата 2 Знак"/>
    <w:link w:val="871"/>
    <w:uiPriority w:val="29"/>
    <w:rPr>
      <w:i/>
    </w:rPr>
  </w:style>
  <w:style w:type="paragraph" w:styleId="873">
    <w:name w:val="Intense Quote"/>
    <w:link w:val="87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74" w:customStyle="1">
    <w:name w:val="Выделенная цитата Знак"/>
    <w:link w:val="873"/>
    <w:uiPriority w:val="30"/>
    <w:rPr>
      <w:i/>
    </w:rPr>
  </w:style>
  <w:style w:type="paragraph" w:styleId="875">
    <w:name w:val="Header"/>
    <w:basedOn w:val="811"/>
    <w:link w:val="1039"/>
    <w:pPr>
      <w:tabs>
        <w:tab w:val="center" w:pos="4153" w:leader="none"/>
        <w:tab w:val="right" w:pos="8306" w:leader="none"/>
      </w:tabs>
    </w:pPr>
    <w:rPr>
      <w:rFonts w:ascii="Times New Roman" w:hAnsi="Times New Roman"/>
      <w:lang w:val="en-US" w:eastAsia="ru-RU"/>
    </w:rPr>
  </w:style>
  <w:style w:type="character" w:styleId="876" w:customStyle="1">
    <w:name w:val="Header Char"/>
    <w:uiPriority w:val="99"/>
  </w:style>
  <w:style w:type="paragraph" w:styleId="877">
    <w:name w:val="Footer"/>
    <w:basedOn w:val="811"/>
    <w:link w:val="1064"/>
    <w:uiPriority w:val="99"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878" w:customStyle="1">
    <w:name w:val="Footer Char"/>
    <w:uiPriority w:val="99"/>
  </w:style>
  <w:style w:type="paragraph" w:styleId="879">
    <w:name w:val="Caption"/>
    <w:link w:val="88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80" w:customStyle="1">
    <w:name w:val="Caption Char"/>
    <w:uiPriority w:val="99"/>
  </w:style>
  <w:style w:type="table" w:styleId="881">
    <w:name w:val="Table Grid"/>
    <w:basedOn w:val="822"/>
    <w:rPr>
      <w:rFonts w:eastAsia="Times New Roman"/>
    </w:rPr>
    <w:tblPr/>
  </w:style>
  <w:style w:type="table" w:styleId="882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83" w:customStyle="1">
    <w:name w:val="Таблица простая 1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84" w:customStyle="1">
    <w:name w:val="Таблица простая 21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85" w:customStyle="1">
    <w:name w:val="Таблица простая 3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86" w:customStyle="1">
    <w:name w:val="Таблица простая 4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Таблица простая 5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88" w:customStyle="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Таблица-сетка 2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Таблица-сетка 3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Таблица-сетка 41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10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911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912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913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914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915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916" w:customStyle="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17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918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919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920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921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922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923" w:customStyle="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24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25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26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27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28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29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30" w:customStyle="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1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2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3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4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5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6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7" w:customStyle="1">
    <w:name w:val="Список-таблица 1 светлая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Список-таблица 21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45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46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47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48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49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50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51" w:customStyle="1">
    <w:name w:val="Список-таблица 3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2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3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4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5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6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7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8" w:customStyle="1">
    <w:name w:val="Список-таблица 4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9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0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1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2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3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4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5" w:customStyle="1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6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7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8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9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0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1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2" w:customStyle="1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73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74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75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76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77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78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79" w:customStyle="1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0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1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2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3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4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5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6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87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88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89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90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91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92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93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94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95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96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97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98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99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00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001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02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003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004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005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006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1007">
    <w:name w:val="Hyperlink"/>
    <w:rPr>
      <w:color w:val="0000ff"/>
      <w:u w:val="single"/>
    </w:rPr>
  </w:style>
  <w:style w:type="paragraph" w:styleId="1008">
    <w:name w:val="footnote text"/>
    <w:basedOn w:val="811"/>
    <w:link w:val="1036"/>
    <w:rPr>
      <w:lang w:val="en-US" w:eastAsia="en-US"/>
    </w:rPr>
  </w:style>
  <w:style w:type="character" w:styleId="1009" w:customStyle="1">
    <w:name w:val="Footnote Text Char"/>
    <w:uiPriority w:val="99"/>
    <w:rPr>
      <w:sz w:val="18"/>
    </w:rPr>
  </w:style>
  <w:style w:type="character" w:styleId="1010">
    <w:name w:val="footnote reference"/>
    <w:uiPriority w:val="99"/>
    <w:rPr>
      <w:vertAlign w:val="superscript"/>
    </w:rPr>
  </w:style>
  <w:style w:type="paragraph" w:styleId="1011">
    <w:name w:val="endnote text"/>
    <w:basedOn w:val="811"/>
    <w:link w:val="1072"/>
    <w:semiHidden/>
  </w:style>
  <w:style w:type="character" w:styleId="1012" w:customStyle="1">
    <w:name w:val="Endnote Text Char"/>
    <w:uiPriority w:val="99"/>
    <w:rPr>
      <w:sz w:val="20"/>
    </w:rPr>
  </w:style>
  <w:style w:type="character" w:styleId="1013">
    <w:name w:val="endnote reference"/>
    <w:semiHidden/>
    <w:rPr>
      <w:vertAlign w:val="superscript"/>
    </w:rPr>
  </w:style>
  <w:style w:type="paragraph" w:styleId="1014">
    <w:name w:val="toc 1"/>
    <w:uiPriority w:val="39"/>
    <w:unhideWhenUsed/>
    <w:pPr>
      <w:spacing w:after="57"/>
    </w:pPr>
  </w:style>
  <w:style w:type="paragraph" w:styleId="1015">
    <w:name w:val="toc 2"/>
    <w:uiPriority w:val="39"/>
    <w:unhideWhenUsed/>
    <w:pPr>
      <w:ind w:left="283"/>
      <w:spacing w:after="57"/>
    </w:pPr>
  </w:style>
  <w:style w:type="paragraph" w:styleId="1016">
    <w:name w:val="toc 3"/>
    <w:uiPriority w:val="39"/>
    <w:unhideWhenUsed/>
    <w:pPr>
      <w:ind w:left="567"/>
      <w:spacing w:after="57"/>
    </w:pPr>
  </w:style>
  <w:style w:type="paragraph" w:styleId="1017">
    <w:name w:val="toc 4"/>
    <w:uiPriority w:val="39"/>
    <w:unhideWhenUsed/>
    <w:pPr>
      <w:ind w:left="850"/>
      <w:spacing w:after="57"/>
    </w:pPr>
  </w:style>
  <w:style w:type="paragraph" w:styleId="1018">
    <w:name w:val="toc 5"/>
    <w:uiPriority w:val="39"/>
    <w:unhideWhenUsed/>
    <w:pPr>
      <w:ind w:left="1134"/>
      <w:spacing w:after="57"/>
    </w:pPr>
  </w:style>
  <w:style w:type="paragraph" w:styleId="1019">
    <w:name w:val="toc 6"/>
    <w:uiPriority w:val="39"/>
    <w:unhideWhenUsed/>
    <w:pPr>
      <w:ind w:left="1417"/>
      <w:spacing w:after="57"/>
    </w:pPr>
  </w:style>
  <w:style w:type="paragraph" w:styleId="1020">
    <w:name w:val="toc 7"/>
    <w:uiPriority w:val="39"/>
    <w:unhideWhenUsed/>
    <w:pPr>
      <w:ind w:left="1701"/>
      <w:spacing w:after="57"/>
    </w:pPr>
  </w:style>
  <w:style w:type="paragraph" w:styleId="1021">
    <w:name w:val="toc 8"/>
    <w:uiPriority w:val="39"/>
    <w:unhideWhenUsed/>
    <w:pPr>
      <w:ind w:left="1984"/>
      <w:spacing w:after="57"/>
    </w:pPr>
  </w:style>
  <w:style w:type="paragraph" w:styleId="1022">
    <w:name w:val="toc 9"/>
    <w:uiPriority w:val="39"/>
    <w:unhideWhenUsed/>
    <w:pPr>
      <w:ind w:left="2268"/>
      <w:spacing w:after="57"/>
    </w:pPr>
  </w:style>
  <w:style w:type="paragraph" w:styleId="1023">
    <w:name w:val="TOC Heading"/>
    <w:uiPriority w:val="39"/>
    <w:unhideWhenUsed/>
  </w:style>
  <w:style w:type="paragraph" w:styleId="1024">
    <w:name w:val="table of figures"/>
    <w:uiPriority w:val="99"/>
    <w:unhideWhenUsed/>
  </w:style>
  <w:style w:type="paragraph" w:styleId="1025" w:customStyle="1">
    <w:name w:val="Заголовок 1;_EB_1"/>
    <w:basedOn w:val="811"/>
    <w:next w:val="1054"/>
    <w:link w:val="1047"/>
    <w:pPr>
      <w:numPr>
        <w:ilvl w:val="0"/>
        <w:numId w:val="1"/>
      </w:numPr>
      <w:contextualSpacing/>
      <w:jc w:val="center"/>
      <w:keepNext/>
      <w:pageBreakBefore/>
      <w:spacing w:before="240" w:after="480"/>
      <w:outlineLvl w:val="0"/>
    </w:pPr>
    <w:rPr>
      <w:rFonts w:ascii="Times New Roman" w:hAnsi="Times New Roman"/>
      <w:b/>
      <w:caps/>
      <w:sz w:val="32"/>
      <w:szCs w:val="36"/>
      <w:lang w:val="en-US"/>
    </w:rPr>
  </w:style>
  <w:style w:type="paragraph" w:styleId="1026" w:customStyle="1">
    <w:name w:val="Заголовок 2;_EB_2"/>
    <w:basedOn w:val="1025"/>
    <w:next w:val="1054"/>
    <w:link w:val="1048"/>
    <w:pPr>
      <w:numPr>
        <w:ilvl w:val="1"/>
      </w:numPr>
      <w:jc w:val="left"/>
      <w:pageBreakBefore w:val="0"/>
      <w:spacing w:after="240"/>
      <w:tabs>
        <w:tab w:val="left" w:pos="851" w:leader="none"/>
      </w:tabs>
      <w:outlineLvl w:val="1"/>
    </w:pPr>
    <w:rPr>
      <w:bCs/>
      <w:iCs/>
      <w:caps w:val="0"/>
      <w:szCs w:val="32"/>
    </w:rPr>
  </w:style>
  <w:style w:type="paragraph" w:styleId="1027" w:customStyle="1">
    <w:name w:val="Заголовок 3;_EB_3"/>
    <w:basedOn w:val="1026"/>
    <w:next w:val="1054"/>
    <w:link w:val="1049"/>
    <w:pPr>
      <w:numPr>
        <w:ilvl w:val="2"/>
      </w:numPr>
      <w:keepLines/>
      <w:tabs>
        <w:tab w:val="clear" w:pos="851" w:leader="none"/>
      </w:tabs>
      <w:outlineLvl w:val="2"/>
    </w:pPr>
    <w:rPr>
      <w:bCs w:val="0"/>
      <w:sz w:val="28"/>
      <w:szCs w:val="26"/>
    </w:rPr>
  </w:style>
  <w:style w:type="paragraph" w:styleId="1028" w:customStyle="1">
    <w:name w:val="Заголовок 4;_EB_4"/>
    <w:basedOn w:val="1027"/>
    <w:next w:val="1054"/>
    <w:link w:val="1050"/>
    <w:pPr>
      <w:numPr>
        <w:ilvl w:val="3"/>
      </w:numPr>
      <w:outlineLvl w:val="3"/>
    </w:pPr>
    <w:rPr>
      <w:sz w:val="24"/>
    </w:rPr>
  </w:style>
  <w:style w:type="paragraph" w:styleId="1029" w:customStyle="1">
    <w:name w:val="Абзац списка1"/>
    <w:basedOn w:val="811"/>
    <w:link w:val="1034"/>
    <w:pPr>
      <w:contextualSpacing/>
      <w:ind w:left="720"/>
    </w:pPr>
  </w:style>
  <w:style w:type="character" w:styleId="1030" w:customStyle="1">
    <w:name w:val="Нижний колонтитул Знак;f Знак"/>
    <w:rPr>
      <w:rFonts w:ascii="Times New Roman" w:hAnsi="Times New Roman"/>
      <w:sz w:val="20"/>
      <w:szCs w:val="20"/>
    </w:rPr>
  </w:style>
  <w:style w:type="paragraph" w:styleId="1031">
    <w:name w:val="Balloon Text"/>
    <w:basedOn w:val="811"/>
    <w:link w:val="1033"/>
    <w:semiHidden/>
    <w:rPr>
      <w:rFonts w:ascii="Tahoma" w:hAnsi="Tahoma"/>
      <w:sz w:val="16"/>
      <w:lang w:val="en-US" w:eastAsia="en-US"/>
    </w:rPr>
  </w:style>
  <w:style w:type="paragraph" w:styleId="1032" w:customStyle="1">
    <w:name w:val="ConsPlusCell"/>
    <w:rPr>
      <w:rFonts w:ascii="Times New Roman" w:hAnsi="Times New Roman" w:eastAsia="Times New Roman"/>
      <w:sz w:val="24"/>
      <w:szCs w:val="24"/>
      <w:lang w:eastAsia="en-US"/>
    </w:rPr>
  </w:style>
  <w:style w:type="character" w:styleId="1033" w:customStyle="1">
    <w:name w:val="Текст выноски Знак"/>
    <w:link w:val="1031"/>
    <w:semiHidden/>
    <w:rPr>
      <w:rFonts w:ascii="Tahoma" w:hAnsi="Tahoma"/>
      <w:sz w:val="16"/>
    </w:rPr>
  </w:style>
  <w:style w:type="character" w:styleId="1034" w:customStyle="1">
    <w:name w:val="List Paragraph Char"/>
    <w:link w:val="1029"/>
  </w:style>
  <w:style w:type="character" w:styleId="1035" w:customStyle="1">
    <w:name w:val="Текст сноски Знак"/>
    <w:semiHidden/>
    <w:rPr>
      <w:sz w:val="20"/>
    </w:rPr>
  </w:style>
  <w:style w:type="character" w:styleId="1036" w:customStyle="1">
    <w:name w:val="Текст сноски Знак1"/>
    <w:link w:val="1008"/>
    <w:rPr>
      <w:rFonts w:ascii="Calibri" w:hAnsi="Calibri"/>
      <w:sz w:val="20"/>
    </w:rPr>
  </w:style>
  <w:style w:type="paragraph" w:styleId="1037" w:customStyle="1">
    <w:name w:val="ConsPlusNonformat"/>
    <w:pPr>
      <w:widowControl w:val="off"/>
    </w:pPr>
    <w:rPr>
      <w:rFonts w:ascii="Courier New" w:hAnsi="Courier New"/>
      <w:lang w:eastAsia="ru-RU"/>
    </w:rPr>
  </w:style>
  <w:style w:type="paragraph" w:styleId="1038" w:customStyle="1">
    <w:name w:val="Colorful List - Accent 11"/>
    <w:basedOn w:val="811"/>
    <w:pPr>
      <w:contextualSpacing/>
      <w:ind w:left="720"/>
      <w:spacing w:after="200" w:line="276" w:lineRule="auto"/>
    </w:pPr>
  </w:style>
  <w:style w:type="character" w:styleId="1039" w:customStyle="1">
    <w:name w:val="Верхний колонтитул Знак"/>
    <w:link w:val="875"/>
    <w:rPr>
      <w:rFonts w:ascii="Times New Roman" w:hAnsi="Times New Roman"/>
      <w:sz w:val="20"/>
      <w:lang w:eastAsia="ru-RU"/>
    </w:rPr>
  </w:style>
  <w:style w:type="character" w:styleId="1040">
    <w:name w:val="annotation reference"/>
    <w:rPr>
      <w:sz w:val="16"/>
      <w:szCs w:val="16"/>
    </w:rPr>
  </w:style>
  <w:style w:type="paragraph" w:styleId="1041">
    <w:name w:val="annotation text"/>
    <w:basedOn w:val="811"/>
    <w:link w:val="1043"/>
    <w:rPr>
      <w:lang w:val="en-US"/>
    </w:rPr>
  </w:style>
  <w:style w:type="paragraph" w:styleId="1042">
    <w:name w:val="annotation subject"/>
    <w:basedOn w:val="1041"/>
    <w:next w:val="1041"/>
    <w:link w:val="1045"/>
    <w:rPr>
      <w:b/>
      <w:bCs/>
    </w:rPr>
  </w:style>
  <w:style w:type="character" w:styleId="1043" w:customStyle="1">
    <w:name w:val="Текст примечания Знак"/>
    <w:link w:val="1041"/>
    <w:rPr>
      <w:rFonts w:eastAsia="Times New Roman"/>
      <w:lang w:eastAsia="en-US"/>
    </w:rPr>
  </w:style>
  <w:style w:type="paragraph" w:styleId="1044" w:customStyle="1">
    <w:name w:val="Colorful Shading - Accent 11"/>
    <w:hidden/>
    <w:semiHidden/>
    <w:rPr>
      <w:rFonts w:eastAsia="Times New Roman"/>
      <w:sz w:val="22"/>
      <w:szCs w:val="22"/>
      <w:lang w:eastAsia="en-US"/>
    </w:rPr>
  </w:style>
  <w:style w:type="character" w:styleId="1045" w:customStyle="1">
    <w:name w:val="Тема примечания Знак"/>
    <w:link w:val="1042"/>
    <w:rPr>
      <w:rFonts w:eastAsia="Times New Roman"/>
      <w:b/>
      <w:bCs/>
      <w:lang w:eastAsia="en-US"/>
    </w:rPr>
  </w:style>
  <w:style w:type="paragraph" w:styleId="1046" w:customStyle="1">
    <w:name w:val="ConsPlusNormal"/>
    <w:pPr>
      <w:widowControl w:val="off"/>
    </w:pPr>
    <w:rPr>
      <w:rFonts w:ascii="Arial" w:hAnsi="Arial" w:eastAsia="Times New Roman"/>
      <w:lang w:eastAsia="ru-RU"/>
    </w:rPr>
  </w:style>
  <w:style w:type="character" w:styleId="1047" w:customStyle="1">
    <w:name w:val="Заголовок 1 Знак;_EB_1 Знак"/>
    <w:link w:val="1025"/>
    <w:rPr>
      <w:rFonts w:ascii="Times New Roman" w:hAnsi="Times New Roman" w:eastAsia="Times New Roman"/>
      <w:b/>
      <w:caps/>
      <w:sz w:val="32"/>
      <w:szCs w:val="36"/>
      <w:lang w:val="en-US" w:eastAsia="en-US"/>
    </w:rPr>
  </w:style>
  <w:style w:type="character" w:styleId="1048" w:customStyle="1">
    <w:name w:val="Заголовок 2 Знак;_EB_2 Знак"/>
    <w:link w:val="1026"/>
    <w:rPr>
      <w:rFonts w:ascii="Times New Roman" w:hAnsi="Times New Roman" w:eastAsia="Times New Roman"/>
      <w:b/>
      <w:bCs/>
      <w:iCs/>
      <w:sz w:val="32"/>
      <w:szCs w:val="32"/>
      <w:lang w:val="en-US" w:eastAsia="en-US"/>
    </w:rPr>
  </w:style>
  <w:style w:type="character" w:styleId="1049" w:customStyle="1">
    <w:name w:val="Заголовок 3 Знак;_EB_3 Знак"/>
    <w:link w:val="1027"/>
    <w:rPr>
      <w:rFonts w:ascii="Times New Roman" w:hAnsi="Times New Roman" w:eastAsia="Times New Roman"/>
      <w:b/>
      <w:iCs/>
      <w:sz w:val="28"/>
      <w:szCs w:val="26"/>
      <w:lang w:val="en-US" w:eastAsia="en-US"/>
    </w:rPr>
  </w:style>
  <w:style w:type="character" w:styleId="1050" w:customStyle="1">
    <w:name w:val="Заголовок 4 Знак;_EB_4 Знак"/>
    <w:link w:val="1028"/>
    <w:rPr>
      <w:rFonts w:ascii="Times New Roman" w:hAnsi="Times New Roman" w:eastAsia="Times New Roman"/>
      <w:b/>
      <w:iCs/>
      <w:sz w:val="24"/>
      <w:szCs w:val="26"/>
      <w:lang w:val="en-US" w:eastAsia="en-US"/>
    </w:rPr>
  </w:style>
  <w:style w:type="character" w:styleId="1051" w:customStyle="1">
    <w:name w:val="_Текст+абзац Знак"/>
    <w:link w:val="1052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styleId="1052" w:customStyle="1">
    <w:name w:val="_Текст+абзац"/>
    <w:link w:val="1051"/>
    <w:pPr>
      <w:ind w:firstLine="567"/>
      <w:jc w:val="both"/>
      <w:spacing w:line="360" w:lineRule="auto"/>
    </w:pPr>
    <w:rPr>
      <w:rFonts w:ascii="Times New Roman" w:hAnsi="Times New Roman"/>
      <w:spacing w:val="-2"/>
      <w:sz w:val="28"/>
      <w:szCs w:val="22"/>
      <w:lang w:eastAsia="en-US"/>
    </w:rPr>
  </w:style>
  <w:style w:type="character" w:styleId="1053" w:customStyle="1">
    <w:name w:val="_EB_Normal Знак"/>
    <w:link w:val="1054"/>
    <w:rPr>
      <w:sz w:val="24"/>
      <w:szCs w:val="22"/>
      <w:lang w:val="ru-RU" w:eastAsia="ru-RU" w:bidi="ar-SA"/>
    </w:rPr>
  </w:style>
  <w:style w:type="paragraph" w:styleId="1054" w:customStyle="1">
    <w:name w:val="_EB_Normal"/>
    <w:link w:val="1053"/>
    <w:pPr>
      <w:contextualSpacing/>
      <w:ind w:firstLine="567"/>
      <w:jc w:val="both"/>
      <w:spacing w:before="120" w:after="60"/>
    </w:pPr>
    <w:rPr>
      <w:sz w:val="24"/>
      <w:szCs w:val="22"/>
      <w:lang w:eastAsia="ru-RU"/>
    </w:rPr>
  </w:style>
  <w:style w:type="paragraph" w:styleId="1055" w:customStyle="1">
    <w:name w:val="_EB_Sign"/>
    <w:basedOn w:val="811"/>
    <w:pPr>
      <w:contextualSpacing/>
      <w:jc w:val="center"/>
      <w:keepNext/>
      <w:spacing w:before="120" w:after="120"/>
    </w:pPr>
    <w:rPr>
      <w:rFonts w:ascii="Times New Roman" w:hAnsi="Times New Roman"/>
      <w:b/>
      <w:sz w:val="28"/>
      <w:lang w:eastAsia="ru-RU"/>
    </w:rPr>
  </w:style>
  <w:style w:type="paragraph" w:styleId="1056">
    <w:name w:val="Body Text Indent 3"/>
    <w:basedOn w:val="811"/>
    <w:link w:val="1057"/>
    <w:semiHidden/>
    <w:pPr>
      <w:ind w:left="283" w:firstLine="567"/>
      <w:jc w:val="both"/>
      <w:spacing w:after="120"/>
    </w:pPr>
    <w:rPr>
      <w:rFonts w:ascii="Times New Roman" w:hAnsi="Times New Roman"/>
      <w:sz w:val="16"/>
      <w:lang w:val="en-US" w:eastAsia="en-US"/>
    </w:rPr>
  </w:style>
  <w:style w:type="character" w:styleId="1057" w:customStyle="1">
    <w:name w:val="Основной текст с отступом 3 Знак"/>
    <w:link w:val="1056"/>
    <w:semiHidden/>
    <w:rPr>
      <w:rFonts w:ascii="Times New Roman" w:hAnsi="Times New Roman" w:eastAsia="Times New Roman"/>
      <w:sz w:val="16"/>
      <w:szCs w:val="20"/>
      <w:lang w:val="en-US" w:eastAsia="en-US"/>
    </w:rPr>
  </w:style>
  <w:style w:type="paragraph" w:styleId="1058" w:customStyle="1">
    <w:name w:val="Основной текст;body text table;Body Text Table;contents;bt;Body 3;Corps de texte;heading_txt;bodytxy2;Body Text - Level 2;??2;Platte tekst;body tesx;t;text;sp;Resume Text;Цитата1;heading3;body text1;body text2;bt1;body text3"/>
    <w:basedOn w:val="811"/>
    <w:link w:val="1059"/>
    <w:semiHidden/>
    <w:pPr>
      <w:ind w:firstLine="567"/>
      <w:jc w:val="both"/>
      <w:spacing w:after="240"/>
    </w:pPr>
    <w:rPr>
      <w:rFonts w:ascii="Times New Roman" w:hAnsi="Times New Roman"/>
      <w:lang w:val="en-US" w:eastAsia="en-US"/>
    </w:rPr>
  </w:style>
  <w:style w:type="character" w:styleId="1059" w:customStyle="1">
    <w:name w:val="Основной текст Знак;body text table Знак;Body Text Table Знак;contents Знак;bt Знак;Body 3 Знак;Corps de texte Знак;heading_txt Знак;bodytxy2 Знак;Body Text - Level 2 Знак;??2 Знак;Platte tekst Знак;body tesx Знак;t Знак;text Знак;sp Знак;Цитата1 Знак"/>
    <w:link w:val="1058"/>
    <w:semiHidden/>
    <w:rPr>
      <w:rFonts w:ascii="Times New Roman" w:hAnsi="Times New Roman" w:eastAsia="Times New Roman"/>
      <w:sz w:val="20"/>
      <w:szCs w:val="20"/>
      <w:lang w:val="en-US" w:eastAsia="en-US"/>
    </w:rPr>
  </w:style>
  <w:style w:type="numbering" w:styleId="1060">
    <w:name w:val="Outline List 1"/>
    <w:basedOn w:val="823"/>
  </w:style>
  <w:style w:type="paragraph" w:styleId="1061" w:customStyle="1">
    <w:name w:val="Iau?iue"/>
    <w:rPr>
      <w:rFonts w:ascii="Times New Roman" w:hAnsi="Times New Roman" w:eastAsia="Times New Roman"/>
      <w:lang w:eastAsia="ru-RU"/>
    </w:rPr>
  </w:style>
  <w:style w:type="paragraph" w:styleId="1062" w:customStyle="1">
    <w:name w:val="Iau?iue1"/>
    <w:pPr>
      <w:widowControl w:val="off"/>
    </w:pPr>
    <w:rPr>
      <w:rFonts w:ascii="Times New Roman" w:hAnsi="Times New Roman" w:eastAsia="Times New Roman"/>
      <w:lang w:eastAsia="ru-RU"/>
    </w:rPr>
  </w:style>
  <w:style w:type="paragraph" w:styleId="1063" w:customStyle="1">
    <w:name w:val="Iniiaiie oaeno 2"/>
    <w:basedOn w:val="1061"/>
    <w:pPr>
      <w:ind w:firstLine="709"/>
      <w:jc w:val="both"/>
      <w:spacing w:after="120"/>
    </w:pPr>
    <w:rPr>
      <w:sz w:val="24"/>
    </w:rPr>
  </w:style>
  <w:style w:type="character" w:styleId="1064" w:customStyle="1">
    <w:name w:val="Нижний колонтитул Знак"/>
    <w:link w:val="877"/>
    <w:uiPriority w:val="99"/>
    <w:rPr>
      <w:rFonts w:eastAsia="Times New Roman"/>
      <w:sz w:val="22"/>
      <w:szCs w:val="22"/>
      <w:lang w:eastAsia="en-US"/>
    </w:rPr>
  </w:style>
  <w:style w:type="paragraph" w:styleId="1065" w:customStyle="1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styleId="1066">
    <w:name w:val="Normal (Web)"/>
    <w:basedOn w:val="81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1067" w:customStyle="1">
    <w:name w:val="Заг_Приложение"/>
    <w:basedOn w:val="1025"/>
    <w:next w:val="1054"/>
    <w:pPr>
      <w:numPr>
        <w:ilvl w:val="0"/>
        <w:numId w:val="3"/>
      </w:numPr>
      <w:ind w:left="0" w:firstLine="0"/>
    </w:pPr>
    <w:rPr>
      <w:lang w:eastAsia="en-US"/>
    </w:rPr>
  </w:style>
  <w:style w:type="paragraph" w:styleId="1068">
    <w:name w:val="Document Map"/>
    <w:basedOn w:val="811"/>
    <w:link w:val="1069"/>
    <w:semiHidden/>
    <w:rPr>
      <w:rFonts w:ascii="Tahoma" w:hAnsi="Tahoma"/>
      <w:sz w:val="16"/>
      <w:szCs w:val="16"/>
      <w:lang w:val="en-US"/>
    </w:rPr>
  </w:style>
  <w:style w:type="character" w:styleId="1069" w:customStyle="1">
    <w:name w:val="Схема документа Знак"/>
    <w:link w:val="1068"/>
    <w:semiHidden/>
    <w:rPr>
      <w:rFonts w:ascii="Tahoma" w:hAnsi="Tahoma" w:eastAsia="Times New Roman"/>
      <w:sz w:val="16"/>
      <w:szCs w:val="16"/>
      <w:lang w:eastAsia="en-US"/>
    </w:rPr>
  </w:style>
  <w:style w:type="paragraph" w:styleId="1070" w:customStyle="1">
    <w:name w:val="_GOST_Table_norm"/>
    <w:link w:val="1071"/>
    <w:pPr>
      <w:ind w:left="57" w:right="57"/>
      <w:jc w:val="both"/>
    </w:pPr>
    <w:rPr>
      <w:rFonts w:ascii="Times New Roman" w:hAnsi="Times New Roman" w:eastAsia="Times New Roman"/>
      <w:sz w:val="22"/>
      <w:lang w:eastAsia="ru-RU"/>
    </w:rPr>
  </w:style>
  <w:style w:type="character" w:styleId="1071" w:customStyle="1">
    <w:name w:val="_GOST_Table_norm Знак"/>
    <w:link w:val="1070"/>
    <w:rPr>
      <w:rFonts w:ascii="Times New Roman" w:hAnsi="Times New Roman" w:eastAsia="Times New Roman"/>
      <w:sz w:val="22"/>
    </w:rPr>
  </w:style>
  <w:style w:type="character" w:styleId="1072" w:customStyle="1">
    <w:name w:val="Текст концевой сноски Знак"/>
    <w:link w:val="1011"/>
    <w:semiHidden/>
    <w:rPr>
      <w:rFonts w:eastAsia="Times New Roman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FFCF8D45-0BC9-4C56-AB35-9C5129E9D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adm_local</dc:creator>
  <cp:lastModifiedBy>УФК по Саратовской области</cp:lastModifiedBy>
  <cp:revision>7</cp:revision>
  <dcterms:created xsi:type="dcterms:W3CDTF">2025-05-21T14:40:00Z</dcterms:created>
  <dcterms:modified xsi:type="dcterms:W3CDTF">2026-01-20T09:48:50Z</dcterms:modified>
</cp:coreProperties>
</file>